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70" w:rsidRPr="00482955" w:rsidRDefault="005E1F70" w:rsidP="005E1F70">
      <w:pPr>
        <w:spacing w:after="0"/>
        <w:jc w:val="center"/>
        <w:rPr>
          <w:rFonts w:ascii="Arial" w:eastAsia="Calibri" w:hAnsi="Arial" w:cs="Times New Roman"/>
          <w:b/>
          <w:color w:val="363194"/>
          <w:sz w:val="24"/>
          <w:szCs w:val="24"/>
        </w:rPr>
      </w:pPr>
      <w:r w:rsidRPr="00482955">
        <w:rPr>
          <w:rFonts w:ascii="Arial" w:eastAsia="Calibri" w:hAnsi="Arial" w:cs="Times New Roman"/>
          <w:b/>
          <w:color w:val="363194"/>
          <w:sz w:val="24"/>
          <w:szCs w:val="24"/>
        </w:rPr>
        <w:t xml:space="preserve">Затраты на инновационную деятельность по видам инновационной деятельности за 2019 </w:t>
      </w:r>
      <w:r w:rsidR="00223F43" w:rsidRPr="00482955">
        <w:rPr>
          <w:rFonts w:ascii="Arial" w:eastAsia="Calibri" w:hAnsi="Arial" w:cs="Times New Roman"/>
          <w:b/>
          <w:color w:val="363194"/>
          <w:sz w:val="24"/>
          <w:szCs w:val="24"/>
        </w:rPr>
        <w:t>-</w:t>
      </w:r>
      <w:r w:rsidRPr="00482955">
        <w:rPr>
          <w:rFonts w:ascii="Arial" w:eastAsia="Calibri" w:hAnsi="Arial" w:cs="Times New Roman"/>
          <w:b/>
          <w:color w:val="363194"/>
          <w:sz w:val="24"/>
          <w:szCs w:val="24"/>
        </w:rPr>
        <w:t xml:space="preserve"> 202</w:t>
      </w:r>
      <w:r w:rsidR="002667A1">
        <w:rPr>
          <w:rFonts w:ascii="Arial" w:eastAsia="Calibri" w:hAnsi="Arial" w:cs="Times New Roman"/>
          <w:b/>
          <w:color w:val="363194"/>
          <w:sz w:val="24"/>
          <w:szCs w:val="24"/>
          <w:lang w:val="en-US"/>
        </w:rPr>
        <w:t>3</w:t>
      </w:r>
      <w:bookmarkStart w:id="0" w:name="_GoBack"/>
      <w:bookmarkEnd w:id="0"/>
      <w:r w:rsidRPr="00482955">
        <w:rPr>
          <w:rFonts w:ascii="Arial" w:eastAsia="Calibri" w:hAnsi="Arial" w:cs="Times New Roman"/>
          <w:b/>
          <w:color w:val="363194"/>
          <w:sz w:val="24"/>
          <w:szCs w:val="24"/>
        </w:rPr>
        <w:t xml:space="preserve"> годы</w:t>
      </w:r>
    </w:p>
    <w:p w:rsidR="00482955" w:rsidRPr="00482955" w:rsidRDefault="005E1F70" w:rsidP="005E1F70">
      <w:pPr>
        <w:spacing w:after="0"/>
        <w:jc w:val="center"/>
        <w:rPr>
          <w:rFonts w:ascii="Arial" w:eastAsia="Calibri" w:hAnsi="Arial" w:cs="Times New Roman"/>
          <w:b/>
          <w:color w:val="363194"/>
          <w:sz w:val="24"/>
          <w:szCs w:val="24"/>
        </w:rPr>
      </w:pPr>
      <w:r w:rsidRPr="00482955">
        <w:rPr>
          <w:rFonts w:ascii="Arial" w:eastAsia="Calibri" w:hAnsi="Arial" w:cs="Times New Roman"/>
          <w:b/>
          <w:color w:val="363194"/>
          <w:sz w:val="24"/>
          <w:szCs w:val="24"/>
        </w:rPr>
        <w:t xml:space="preserve"> (больших, средних и некоммерческих организаций</w:t>
      </w:r>
      <w:r w:rsidR="00482955" w:rsidRPr="00482955">
        <w:rPr>
          <w:rFonts w:ascii="Arial" w:eastAsia="Calibri" w:hAnsi="Arial" w:cs="Times New Roman"/>
          <w:b/>
          <w:color w:val="363194"/>
          <w:sz w:val="24"/>
          <w:szCs w:val="24"/>
        </w:rPr>
        <w:t>)</w:t>
      </w:r>
      <w:r w:rsidRPr="00482955">
        <w:rPr>
          <w:rFonts w:ascii="Arial" w:eastAsia="Calibri" w:hAnsi="Arial" w:cs="Times New Roman"/>
          <w:b/>
          <w:color w:val="363194"/>
          <w:sz w:val="24"/>
          <w:szCs w:val="24"/>
        </w:rPr>
        <w:t xml:space="preserve"> </w:t>
      </w:r>
    </w:p>
    <w:p w:rsidR="005E1F70" w:rsidRPr="00482955" w:rsidRDefault="00482955" w:rsidP="00482955">
      <w:pPr>
        <w:spacing w:after="0"/>
        <w:ind w:left="1274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</w:t>
      </w:r>
      <w:r w:rsidR="005E1F70" w:rsidRPr="00482955">
        <w:rPr>
          <w:rFonts w:ascii="Arial" w:eastAsia="Times New Roman" w:hAnsi="Arial" w:cs="Arial"/>
          <w:sz w:val="18"/>
          <w:szCs w:val="18"/>
          <w:lang w:eastAsia="ru-RU"/>
        </w:rPr>
        <w:t>(тысяч рублей)</w:t>
      </w:r>
    </w:p>
    <w:tbl>
      <w:tblPr>
        <w:tblW w:w="15559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8433"/>
        <w:gridCol w:w="1418"/>
        <w:gridCol w:w="1417"/>
        <w:gridCol w:w="1385"/>
        <w:gridCol w:w="1450"/>
        <w:gridCol w:w="1456"/>
      </w:tblGrid>
      <w:tr w:rsidR="00D02673" w:rsidRPr="0079689E" w:rsidTr="00482955">
        <w:trPr>
          <w:trHeight w:val="83"/>
          <w:jc w:val="center"/>
        </w:trPr>
        <w:tc>
          <w:tcPr>
            <w:tcW w:w="8433" w:type="dxa"/>
            <w:shd w:val="clear" w:color="auto" w:fill="EBEBEB"/>
          </w:tcPr>
          <w:p w:rsidR="00D02673" w:rsidRPr="0079689E" w:rsidRDefault="00D02673" w:rsidP="000656D8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EBEBEB"/>
            <w:vAlign w:val="center"/>
          </w:tcPr>
          <w:p w:rsidR="00D02673" w:rsidRPr="0079689E" w:rsidRDefault="00D02673" w:rsidP="00482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6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EBEBEB"/>
            <w:vAlign w:val="center"/>
          </w:tcPr>
          <w:p w:rsidR="00D02673" w:rsidRPr="0079689E" w:rsidRDefault="00D02673" w:rsidP="00482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6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385" w:type="dxa"/>
            <w:shd w:val="clear" w:color="auto" w:fill="EBEBEB"/>
            <w:vAlign w:val="center"/>
          </w:tcPr>
          <w:p w:rsidR="00D02673" w:rsidRPr="0079689E" w:rsidRDefault="00D02673" w:rsidP="00482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6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50" w:type="dxa"/>
            <w:shd w:val="clear" w:color="auto" w:fill="EBEBEB"/>
            <w:vAlign w:val="center"/>
          </w:tcPr>
          <w:p w:rsidR="00D02673" w:rsidRPr="0079689E" w:rsidRDefault="00D02673" w:rsidP="00482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6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56" w:type="dxa"/>
            <w:shd w:val="clear" w:color="auto" w:fill="EBEBEB"/>
            <w:vAlign w:val="center"/>
          </w:tcPr>
          <w:p w:rsidR="00D02673" w:rsidRPr="0079689E" w:rsidRDefault="00D02673" w:rsidP="00482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6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</w:p>
        </w:tc>
      </w:tr>
      <w:tr w:rsidR="00D02673" w:rsidRPr="0079689E" w:rsidTr="0079689E">
        <w:trPr>
          <w:trHeight w:val="322"/>
          <w:jc w:val="center"/>
        </w:trPr>
        <w:tc>
          <w:tcPr>
            <w:tcW w:w="8433" w:type="dxa"/>
            <w:shd w:val="clear" w:color="auto" w:fill="auto"/>
            <w:vAlign w:val="bottom"/>
            <w:hideMark/>
          </w:tcPr>
          <w:p w:rsidR="00D02673" w:rsidRPr="0079689E" w:rsidRDefault="00D02673" w:rsidP="000656D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  <w:t>Общие (капитальные и текущие) затраты на инновационную деятельность</w:t>
            </w:r>
          </w:p>
        </w:tc>
        <w:tc>
          <w:tcPr>
            <w:tcW w:w="1418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  <w:t>764058,9</w:t>
            </w:r>
          </w:p>
        </w:tc>
        <w:tc>
          <w:tcPr>
            <w:tcW w:w="1417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  <w:t>10703219,2</w:t>
            </w:r>
          </w:p>
        </w:tc>
        <w:tc>
          <w:tcPr>
            <w:tcW w:w="1385" w:type="dxa"/>
            <w:vAlign w:val="bottom"/>
          </w:tcPr>
          <w:p w:rsidR="00D02673" w:rsidRPr="00482955" w:rsidRDefault="00D02673" w:rsidP="001A2B20">
            <w:pPr>
              <w:spacing w:after="0"/>
              <w:jc w:val="right"/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  <w:t>3355769,5</w:t>
            </w:r>
          </w:p>
        </w:tc>
        <w:tc>
          <w:tcPr>
            <w:tcW w:w="1450" w:type="dxa"/>
            <w:vAlign w:val="bottom"/>
          </w:tcPr>
          <w:p w:rsidR="00D02673" w:rsidRPr="00482955" w:rsidRDefault="00D02673" w:rsidP="008E06A6">
            <w:pPr>
              <w:spacing w:after="0"/>
              <w:jc w:val="right"/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  <w:t>3956440,8</w:t>
            </w:r>
          </w:p>
        </w:tc>
        <w:tc>
          <w:tcPr>
            <w:tcW w:w="1456" w:type="dxa"/>
            <w:vAlign w:val="bottom"/>
          </w:tcPr>
          <w:p w:rsidR="00D02673" w:rsidRPr="00482955" w:rsidRDefault="00031A5C" w:rsidP="00D02673">
            <w:pPr>
              <w:spacing w:after="0"/>
              <w:jc w:val="right"/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b/>
                <w:color w:val="363194"/>
                <w:sz w:val="18"/>
                <w:szCs w:val="18"/>
                <w:lang w:eastAsia="ru-RU"/>
              </w:rPr>
              <w:t>12014491,5</w:t>
            </w:r>
          </w:p>
        </w:tc>
      </w:tr>
      <w:tr w:rsidR="00D02673" w:rsidRPr="0079689E" w:rsidTr="0079689E">
        <w:trPr>
          <w:trHeight w:val="793"/>
          <w:jc w:val="center"/>
        </w:trPr>
        <w:tc>
          <w:tcPr>
            <w:tcW w:w="8433" w:type="dxa"/>
            <w:shd w:val="clear" w:color="auto" w:fill="auto"/>
            <w:vAlign w:val="bottom"/>
            <w:hideMark/>
          </w:tcPr>
          <w:p w:rsidR="00D02673" w:rsidRPr="00482955" w:rsidRDefault="00D02673" w:rsidP="000656D8">
            <w:pPr>
              <w:spacing w:after="0"/>
              <w:ind w:left="176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в том числе:</w:t>
            </w:r>
          </w:p>
          <w:p w:rsidR="00D02673" w:rsidRPr="00482955" w:rsidRDefault="00D02673" w:rsidP="000656D8">
            <w:pPr>
              <w:spacing w:after="0"/>
              <w:ind w:left="176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исследование и разработка новых продуктов, услуг и методов их производства (передачи), новых производственных процессов</w:t>
            </w:r>
          </w:p>
        </w:tc>
        <w:tc>
          <w:tcPr>
            <w:tcW w:w="1418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415436,5</w:t>
            </w:r>
          </w:p>
        </w:tc>
        <w:tc>
          <w:tcPr>
            <w:tcW w:w="1417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3636475,3</w:t>
            </w:r>
          </w:p>
        </w:tc>
        <w:tc>
          <w:tcPr>
            <w:tcW w:w="1385" w:type="dxa"/>
            <w:vAlign w:val="bottom"/>
          </w:tcPr>
          <w:p w:rsidR="00D02673" w:rsidRPr="00482955" w:rsidRDefault="00D02673" w:rsidP="001A2B20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639437,7</w:t>
            </w:r>
          </w:p>
        </w:tc>
        <w:tc>
          <w:tcPr>
            <w:tcW w:w="1450" w:type="dxa"/>
            <w:vAlign w:val="bottom"/>
          </w:tcPr>
          <w:p w:rsidR="00D02673" w:rsidRPr="00482955" w:rsidRDefault="00D02673" w:rsidP="008E06A6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569537,8</w:t>
            </w:r>
          </w:p>
        </w:tc>
        <w:tc>
          <w:tcPr>
            <w:tcW w:w="1456" w:type="dxa"/>
            <w:vAlign w:val="bottom"/>
          </w:tcPr>
          <w:p w:rsidR="00D02673" w:rsidRPr="00482955" w:rsidRDefault="00031A5C" w:rsidP="00D02673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720074,6</w:t>
            </w:r>
          </w:p>
        </w:tc>
      </w:tr>
      <w:tr w:rsidR="00D02673" w:rsidRPr="0079689E" w:rsidTr="0079689E">
        <w:trPr>
          <w:jc w:val="center"/>
        </w:trPr>
        <w:tc>
          <w:tcPr>
            <w:tcW w:w="8433" w:type="dxa"/>
            <w:shd w:val="clear" w:color="auto" w:fill="auto"/>
            <w:vAlign w:val="bottom"/>
          </w:tcPr>
          <w:p w:rsidR="00D02673" w:rsidRPr="00482955" w:rsidRDefault="00D02673" w:rsidP="000656D8">
            <w:pPr>
              <w:spacing w:after="0"/>
              <w:ind w:left="176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дизайн (деятельность по изменению формы, внешнего вида или </w:t>
            </w: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br/>
              <w:t>потребительских свойств продуктов или услуг</w:t>
            </w:r>
          </w:p>
        </w:tc>
        <w:tc>
          <w:tcPr>
            <w:tcW w:w="1418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1025,5</w:t>
            </w:r>
          </w:p>
        </w:tc>
        <w:tc>
          <w:tcPr>
            <w:tcW w:w="1417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4888,4</w:t>
            </w:r>
          </w:p>
        </w:tc>
        <w:tc>
          <w:tcPr>
            <w:tcW w:w="1385" w:type="dxa"/>
            <w:vAlign w:val="bottom"/>
          </w:tcPr>
          <w:p w:rsidR="00D02673" w:rsidRPr="00482955" w:rsidRDefault="00D02673" w:rsidP="001A2B20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  <w:t>...1)</w:t>
            </w:r>
          </w:p>
        </w:tc>
        <w:tc>
          <w:tcPr>
            <w:tcW w:w="1450" w:type="dxa"/>
            <w:vAlign w:val="bottom"/>
          </w:tcPr>
          <w:p w:rsidR="00D02673" w:rsidRPr="00482955" w:rsidRDefault="00D02673" w:rsidP="008E06A6">
            <w:pPr>
              <w:spacing w:after="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uk-UA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  <w:t>...1)</w:t>
            </w:r>
          </w:p>
        </w:tc>
        <w:tc>
          <w:tcPr>
            <w:tcW w:w="1456" w:type="dxa"/>
            <w:vAlign w:val="bottom"/>
          </w:tcPr>
          <w:p w:rsidR="00D02673" w:rsidRPr="00482955" w:rsidRDefault="00262720" w:rsidP="00D02673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  <w:t>...1)</w:t>
            </w:r>
          </w:p>
        </w:tc>
      </w:tr>
      <w:tr w:rsidR="00D02673" w:rsidRPr="0079689E" w:rsidTr="0079689E">
        <w:trPr>
          <w:jc w:val="center"/>
        </w:trPr>
        <w:tc>
          <w:tcPr>
            <w:tcW w:w="8433" w:type="dxa"/>
            <w:shd w:val="clear" w:color="auto" w:fill="auto"/>
            <w:vAlign w:val="bottom"/>
            <w:hideMark/>
          </w:tcPr>
          <w:p w:rsidR="00D02673" w:rsidRPr="00482955" w:rsidRDefault="00D02673" w:rsidP="000656D8">
            <w:pPr>
              <w:spacing w:after="0"/>
              <w:ind w:left="176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приобретение машин и оборудования, связанных с технологическими инновациями</w:t>
            </w:r>
          </w:p>
        </w:tc>
        <w:tc>
          <w:tcPr>
            <w:tcW w:w="1418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307216,0</w:t>
            </w:r>
          </w:p>
        </w:tc>
        <w:tc>
          <w:tcPr>
            <w:tcW w:w="1417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7033537,3</w:t>
            </w:r>
          </w:p>
        </w:tc>
        <w:tc>
          <w:tcPr>
            <w:tcW w:w="1385" w:type="dxa"/>
            <w:vAlign w:val="bottom"/>
          </w:tcPr>
          <w:p w:rsidR="00D02673" w:rsidRPr="00482955" w:rsidRDefault="00D02673" w:rsidP="001A2B20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1104306,6</w:t>
            </w:r>
          </w:p>
        </w:tc>
        <w:tc>
          <w:tcPr>
            <w:tcW w:w="1450" w:type="dxa"/>
            <w:vAlign w:val="bottom"/>
          </w:tcPr>
          <w:p w:rsidR="00D02673" w:rsidRPr="00482955" w:rsidRDefault="00D02673" w:rsidP="008E06A6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2333025,7</w:t>
            </w:r>
          </w:p>
        </w:tc>
        <w:tc>
          <w:tcPr>
            <w:tcW w:w="1456" w:type="dxa"/>
            <w:vAlign w:val="bottom"/>
          </w:tcPr>
          <w:p w:rsidR="00D02673" w:rsidRPr="00482955" w:rsidRDefault="00031A5C" w:rsidP="00D02673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10488004,8</w:t>
            </w:r>
          </w:p>
        </w:tc>
      </w:tr>
      <w:tr w:rsidR="00D02673" w:rsidRPr="0079689E" w:rsidTr="0079689E">
        <w:trPr>
          <w:jc w:val="center"/>
        </w:trPr>
        <w:tc>
          <w:tcPr>
            <w:tcW w:w="8433" w:type="dxa"/>
            <w:shd w:val="clear" w:color="auto" w:fill="auto"/>
            <w:vAlign w:val="bottom"/>
            <w:hideMark/>
          </w:tcPr>
          <w:p w:rsidR="00D02673" w:rsidRPr="00482955" w:rsidRDefault="00D02673" w:rsidP="000656D8">
            <w:pPr>
              <w:spacing w:after="0"/>
              <w:ind w:left="176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   из них права на патенты, лицензии на использование изобретений, промышленных образцов, полезных моделей</w:t>
            </w:r>
          </w:p>
        </w:tc>
        <w:tc>
          <w:tcPr>
            <w:tcW w:w="1418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83,6</w:t>
            </w:r>
          </w:p>
        </w:tc>
        <w:tc>
          <w:tcPr>
            <w:tcW w:w="1417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385" w:type="dxa"/>
            <w:vAlign w:val="bottom"/>
          </w:tcPr>
          <w:p w:rsidR="00D02673" w:rsidRPr="00482955" w:rsidRDefault="00D02673" w:rsidP="008E06A6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  <w:t>...1)</w:t>
            </w:r>
          </w:p>
        </w:tc>
        <w:tc>
          <w:tcPr>
            <w:tcW w:w="1450" w:type="dxa"/>
            <w:vAlign w:val="bottom"/>
          </w:tcPr>
          <w:p w:rsidR="00D02673" w:rsidRPr="00482955" w:rsidRDefault="00D02673" w:rsidP="008E06A6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  <w:t>...1)</w:t>
            </w:r>
          </w:p>
        </w:tc>
        <w:tc>
          <w:tcPr>
            <w:tcW w:w="1456" w:type="dxa"/>
            <w:vAlign w:val="bottom"/>
          </w:tcPr>
          <w:p w:rsidR="00D02673" w:rsidRPr="00262720" w:rsidRDefault="00262720" w:rsidP="00262720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  <w:t>...1)</w:t>
            </w:r>
          </w:p>
        </w:tc>
      </w:tr>
      <w:tr w:rsidR="00D02673" w:rsidRPr="0079689E" w:rsidTr="0079689E">
        <w:trPr>
          <w:jc w:val="center"/>
        </w:trPr>
        <w:tc>
          <w:tcPr>
            <w:tcW w:w="8433" w:type="dxa"/>
            <w:shd w:val="clear" w:color="auto" w:fill="auto"/>
            <w:vAlign w:val="bottom"/>
          </w:tcPr>
          <w:p w:rsidR="00D02673" w:rsidRPr="00482955" w:rsidRDefault="00D02673" w:rsidP="00494CB3">
            <w:pPr>
              <w:spacing w:after="0"/>
              <w:ind w:left="176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приобретение прав на патенты (отчуждение), лицензий на использование изобретений, промышленных образцов, полезных моделей, селекционных достижений, топологий интегральных микросхем и т.п.: патентование (регистрация) результатов интеллектуальной деятельности</w:t>
            </w:r>
          </w:p>
        </w:tc>
        <w:tc>
          <w:tcPr>
            <w:tcW w:w="1418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  <w:t>...2)</w:t>
            </w:r>
          </w:p>
        </w:tc>
        <w:tc>
          <w:tcPr>
            <w:tcW w:w="1417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  <w:t>...2)</w:t>
            </w:r>
          </w:p>
        </w:tc>
        <w:tc>
          <w:tcPr>
            <w:tcW w:w="1385" w:type="dxa"/>
            <w:vAlign w:val="bottom"/>
          </w:tcPr>
          <w:p w:rsidR="00D02673" w:rsidRPr="00482955" w:rsidRDefault="00D02673" w:rsidP="001A2B20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1817,2</w:t>
            </w:r>
          </w:p>
        </w:tc>
        <w:tc>
          <w:tcPr>
            <w:tcW w:w="1450" w:type="dxa"/>
            <w:vAlign w:val="bottom"/>
          </w:tcPr>
          <w:p w:rsidR="00D02673" w:rsidRPr="00482955" w:rsidRDefault="00D02673" w:rsidP="008E06A6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1939,8</w:t>
            </w:r>
          </w:p>
        </w:tc>
        <w:tc>
          <w:tcPr>
            <w:tcW w:w="1456" w:type="dxa"/>
            <w:vAlign w:val="bottom"/>
          </w:tcPr>
          <w:p w:rsidR="00D02673" w:rsidRPr="00482955" w:rsidRDefault="00031A5C" w:rsidP="00D02673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201048,7</w:t>
            </w:r>
          </w:p>
        </w:tc>
      </w:tr>
      <w:tr w:rsidR="00D02673" w:rsidRPr="0079689E" w:rsidTr="0079689E">
        <w:trPr>
          <w:jc w:val="center"/>
        </w:trPr>
        <w:tc>
          <w:tcPr>
            <w:tcW w:w="8433" w:type="dxa"/>
            <w:shd w:val="clear" w:color="auto" w:fill="auto"/>
            <w:vAlign w:val="bottom"/>
            <w:hideMark/>
          </w:tcPr>
          <w:p w:rsidR="00D02673" w:rsidRPr="00482955" w:rsidRDefault="00D02673" w:rsidP="006D387E">
            <w:pPr>
              <w:spacing w:after="0"/>
              <w:ind w:left="176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Разработка и приобретение программ для ЭВМ и баз данных, связанных с инновационной деятельностью</w:t>
            </w:r>
          </w:p>
        </w:tc>
        <w:tc>
          <w:tcPr>
            <w:tcW w:w="1418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1655,2</w:t>
            </w:r>
          </w:p>
        </w:tc>
        <w:tc>
          <w:tcPr>
            <w:tcW w:w="1417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11275,8</w:t>
            </w:r>
          </w:p>
        </w:tc>
        <w:tc>
          <w:tcPr>
            <w:tcW w:w="1385" w:type="dxa"/>
            <w:vAlign w:val="bottom"/>
          </w:tcPr>
          <w:p w:rsidR="00D02673" w:rsidRPr="00482955" w:rsidRDefault="00D02673" w:rsidP="001A2B20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21949,7</w:t>
            </w:r>
          </w:p>
        </w:tc>
        <w:tc>
          <w:tcPr>
            <w:tcW w:w="1450" w:type="dxa"/>
            <w:vAlign w:val="bottom"/>
          </w:tcPr>
          <w:p w:rsidR="00D02673" w:rsidRPr="00482955" w:rsidRDefault="00D02673" w:rsidP="008E06A6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10257,5</w:t>
            </w:r>
          </w:p>
        </w:tc>
        <w:tc>
          <w:tcPr>
            <w:tcW w:w="1456" w:type="dxa"/>
            <w:vAlign w:val="bottom"/>
          </w:tcPr>
          <w:p w:rsidR="00D02673" w:rsidRPr="00482955" w:rsidRDefault="00031A5C" w:rsidP="00D02673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179026,8</w:t>
            </w:r>
          </w:p>
        </w:tc>
      </w:tr>
      <w:tr w:rsidR="00D02673" w:rsidRPr="0079689E" w:rsidTr="0079689E">
        <w:trPr>
          <w:jc w:val="center"/>
        </w:trPr>
        <w:tc>
          <w:tcPr>
            <w:tcW w:w="8433" w:type="dxa"/>
            <w:shd w:val="clear" w:color="auto" w:fill="auto"/>
            <w:vAlign w:val="bottom"/>
          </w:tcPr>
          <w:p w:rsidR="00D02673" w:rsidRPr="00482955" w:rsidRDefault="00D02673" w:rsidP="000656D8">
            <w:pPr>
              <w:spacing w:after="0"/>
              <w:ind w:left="176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инжиниринг, включая подготовку технико-экономических обоснований, производственное проектирование, пробное производство и испытания, монтаж и пуско-наладочные работы, другие разработки (не связанные с научными) новых производственных процессов</w:t>
            </w:r>
          </w:p>
        </w:tc>
        <w:tc>
          <w:tcPr>
            <w:tcW w:w="1418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385" w:type="dxa"/>
            <w:vAlign w:val="bottom"/>
          </w:tcPr>
          <w:p w:rsidR="00D02673" w:rsidRPr="00482955" w:rsidRDefault="00D02673" w:rsidP="001A2B20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1561619,4</w:t>
            </w:r>
          </w:p>
        </w:tc>
        <w:tc>
          <w:tcPr>
            <w:tcW w:w="1450" w:type="dxa"/>
            <w:vAlign w:val="bottom"/>
          </w:tcPr>
          <w:p w:rsidR="00D02673" w:rsidRPr="00482955" w:rsidRDefault="00D02673" w:rsidP="008E06A6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  <w:t>...1)</w:t>
            </w:r>
          </w:p>
        </w:tc>
        <w:tc>
          <w:tcPr>
            <w:tcW w:w="1456" w:type="dxa"/>
            <w:vAlign w:val="bottom"/>
          </w:tcPr>
          <w:p w:rsidR="00D02673" w:rsidRPr="00482955" w:rsidRDefault="00031A5C" w:rsidP="00D02673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-</w:t>
            </w:r>
          </w:p>
        </w:tc>
      </w:tr>
      <w:tr w:rsidR="00D02673" w:rsidRPr="0079689E" w:rsidTr="0079689E">
        <w:trPr>
          <w:jc w:val="center"/>
        </w:trPr>
        <w:tc>
          <w:tcPr>
            <w:tcW w:w="8433" w:type="dxa"/>
            <w:shd w:val="clear" w:color="auto" w:fill="auto"/>
            <w:vAlign w:val="bottom"/>
          </w:tcPr>
          <w:p w:rsidR="00D02673" w:rsidRPr="00482955" w:rsidRDefault="00D02673" w:rsidP="000656D8">
            <w:pPr>
              <w:spacing w:after="0"/>
              <w:ind w:left="176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обучение и подготовка персонала, связанные с инновациями</w:t>
            </w:r>
          </w:p>
        </w:tc>
        <w:tc>
          <w:tcPr>
            <w:tcW w:w="1418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3534,6</w:t>
            </w:r>
          </w:p>
        </w:tc>
        <w:tc>
          <w:tcPr>
            <w:tcW w:w="1417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1333,0</w:t>
            </w:r>
          </w:p>
        </w:tc>
        <w:tc>
          <w:tcPr>
            <w:tcW w:w="1385" w:type="dxa"/>
            <w:vAlign w:val="bottom"/>
          </w:tcPr>
          <w:p w:rsidR="00D02673" w:rsidRPr="00482955" w:rsidRDefault="00D02673" w:rsidP="00947E09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  <w:t>...1)</w:t>
            </w:r>
          </w:p>
        </w:tc>
        <w:tc>
          <w:tcPr>
            <w:tcW w:w="1450" w:type="dxa"/>
            <w:vAlign w:val="bottom"/>
          </w:tcPr>
          <w:p w:rsidR="00D02673" w:rsidRPr="00482955" w:rsidRDefault="00D02673" w:rsidP="008E06A6">
            <w:pPr>
              <w:spacing w:after="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uk-UA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  <w:t>...1)</w:t>
            </w:r>
          </w:p>
        </w:tc>
        <w:tc>
          <w:tcPr>
            <w:tcW w:w="1456" w:type="dxa"/>
            <w:vAlign w:val="bottom"/>
          </w:tcPr>
          <w:p w:rsidR="00D02673" w:rsidRPr="00482955" w:rsidRDefault="00262720" w:rsidP="00D02673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  <w:t>...1)</w:t>
            </w:r>
          </w:p>
        </w:tc>
      </w:tr>
      <w:tr w:rsidR="00D02673" w:rsidRPr="0079689E" w:rsidTr="0079689E">
        <w:trPr>
          <w:trHeight w:val="96"/>
          <w:jc w:val="center"/>
        </w:trPr>
        <w:tc>
          <w:tcPr>
            <w:tcW w:w="8433" w:type="dxa"/>
            <w:shd w:val="clear" w:color="auto" w:fill="auto"/>
            <w:vAlign w:val="bottom"/>
          </w:tcPr>
          <w:p w:rsidR="00D02673" w:rsidRPr="00482955" w:rsidRDefault="00D02673" w:rsidP="00EC238C">
            <w:pPr>
              <w:spacing w:after="0"/>
              <w:ind w:left="176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маркетинг и создание бренда</w:t>
            </w:r>
          </w:p>
        </w:tc>
        <w:tc>
          <w:tcPr>
            <w:tcW w:w="1418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1452,0</w:t>
            </w:r>
          </w:p>
        </w:tc>
        <w:tc>
          <w:tcPr>
            <w:tcW w:w="1417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1385" w:type="dxa"/>
            <w:vAlign w:val="bottom"/>
          </w:tcPr>
          <w:p w:rsidR="00D02673" w:rsidRPr="00482955" w:rsidRDefault="00D02673" w:rsidP="00947E09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623,0</w:t>
            </w:r>
          </w:p>
        </w:tc>
        <w:tc>
          <w:tcPr>
            <w:tcW w:w="1450" w:type="dxa"/>
            <w:vAlign w:val="bottom"/>
          </w:tcPr>
          <w:p w:rsidR="00D02673" w:rsidRPr="00482955" w:rsidRDefault="00D02673" w:rsidP="008E06A6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  <w:t>...1)</w:t>
            </w:r>
          </w:p>
        </w:tc>
        <w:tc>
          <w:tcPr>
            <w:tcW w:w="1456" w:type="dxa"/>
            <w:vAlign w:val="bottom"/>
          </w:tcPr>
          <w:p w:rsidR="00D02673" w:rsidRPr="00482955" w:rsidRDefault="00262720" w:rsidP="00D02673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  <w:t>...1)</w:t>
            </w:r>
          </w:p>
        </w:tc>
      </w:tr>
      <w:tr w:rsidR="00D02673" w:rsidRPr="0079689E" w:rsidTr="0079689E">
        <w:trPr>
          <w:jc w:val="center"/>
        </w:trPr>
        <w:tc>
          <w:tcPr>
            <w:tcW w:w="8433" w:type="dxa"/>
            <w:shd w:val="clear" w:color="auto" w:fill="auto"/>
            <w:vAlign w:val="bottom"/>
          </w:tcPr>
          <w:p w:rsidR="00D02673" w:rsidRPr="00482955" w:rsidRDefault="00D02673" w:rsidP="000656D8">
            <w:pPr>
              <w:spacing w:after="0"/>
              <w:ind w:left="176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прочие затраты на технологические инновации</w:t>
            </w:r>
          </w:p>
        </w:tc>
        <w:tc>
          <w:tcPr>
            <w:tcW w:w="1418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3651,3</w:t>
            </w:r>
          </w:p>
        </w:tc>
        <w:tc>
          <w:tcPr>
            <w:tcW w:w="1417" w:type="dxa"/>
            <w:vAlign w:val="bottom"/>
          </w:tcPr>
          <w:p w:rsidR="00D02673" w:rsidRPr="00482955" w:rsidRDefault="00D02673" w:rsidP="000656D8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8731,2</w:t>
            </w:r>
          </w:p>
        </w:tc>
        <w:tc>
          <w:tcPr>
            <w:tcW w:w="1385" w:type="dxa"/>
            <w:vAlign w:val="bottom"/>
          </w:tcPr>
          <w:p w:rsidR="00D02673" w:rsidRPr="00482955" w:rsidRDefault="00D02673" w:rsidP="00947E09">
            <w:pPr>
              <w:spacing w:after="0"/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  <w:t>...1)</w:t>
            </w:r>
          </w:p>
        </w:tc>
        <w:tc>
          <w:tcPr>
            <w:tcW w:w="1450" w:type="dxa"/>
            <w:vAlign w:val="bottom"/>
          </w:tcPr>
          <w:p w:rsidR="00D02673" w:rsidRPr="00482955" w:rsidRDefault="00D02673" w:rsidP="008E06A6">
            <w:pPr>
              <w:spacing w:after="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uk-UA"/>
              </w:rPr>
            </w:pPr>
            <w:r w:rsidRPr="00482955">
              <w:rPr>
                <w:rFonts w:ascii="Arial" w:eastAsia="Calibri" w:hAnsi="Arial" w:cs="Arial"/>
                <w:color w:val="282A2E"/>
                <w:sz w:val="18"/>
                <w:szCs w:val="18"/>
                <w:lang w:val="uk-UA"/>
              </w:rPr>
              <w:t>954116,6</w:t>
            </w:r>
          </w:p>
        </w:tc>
        <w:tc>
          <w:tcPr>
            <w:tcW w:w="1456" w:type="dxa"/>
            <w:vAlign w:val="bottom"/>
          </w:tcPr>
          <w:p w:rsidR="00D02673" w:rsidRPr="00482955" w:rsidRDefault="00262720" w:rsidP="00D02673">
            <w:pPr>
              <w:spacing w:after="0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  <w:lang w:val="uk-UA"/>
              </w:rPr>
            </w:pPr>
            <w:r w:rsidRPr="00482955">
              <w:rPr>
                <w:rFonts w:ascii="Arial" w:eastAsia="Times New Roman" w:hAnsi="Arial" w:cs="Arial"/>
                <w:color w:val="282A2E"/>
                <w:sz w:val="18"/>
                <w:szCs w:val="18"/>
                <w:vertAlign w:val="superscript"/>
                <w:lang w:eastAsia="ru-RU"/>
              </w:rPr>
              <w:t>...1)</w:t>
            </w:r>
          </w:p>
        </w:tc>
      </w:tr>
    </w:tbl>
    <w:p w:rsidR="001A2B20" w:rsidRPr="00482955" w:rsidRDefault="001A2B20" w:rsidP="00482955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Arial" w:eastAsia="Times New Roman" w:hAnsi="Arial" w:cs="Arial"/>
          <w:i/>
          <w:kern w:val="28"/>
          <w:sz w:val="16"/>
          <w:szCs w:val="16"/>
          <w:lang w:eastAsia="ru-RU"/>
        </w:rPr>
      </w:pPr>
      <w:r w:rsidRPr="00482955">
        <w:rPr>
          <w:rFonts w:ascii="Arial" w:eastAsia="Times New Roman" w:hAnsi="Arial" w:cs="Arial"/>
          <w:i/>
          <w:kern w:val="28"/>
          <w:sz w:val="16"/>
          <w:szCs w:val="16"/>
          <w:lang w:eastAsia="ru-RU"/>
        </w:rPr>
        <w:t>Данные не размещаются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(ст.4, п.5; ст. 9.П.1)</w:t>
      </w:r>
      <w:r w:rsidR="00275CD7" w:rsidRPr="00482955">
        <w:rPr>
          <w:rFonts w:ascii="Arial" w:eastAsia="Times New Roman" w:hAnsi="Arial" w:cs="Arial"/>
          <w:i/>
          <w:kern w:val="28"/>
          <w:sz w:val="16"/>
          <w:szCs w:val="16"/>
          <w:lang w:eastAsia="ru-RU"/>
        </w:rPr>
        <w:t>;</w:t>
      </w:r>
    </w:p>
    <w:p w:rsidR="00494CB3" w:rsidRPr="00482955" w:rsidRDefault="00275CD7" w:rsidP="00482955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Arial" w:eastAsia="Times New Roman" w:hAnsi="Arial" w:cs="Arial"/>
          <w:i/>
          <w:kern w:val="28"/>
          <w:sz w:val="16"/>
          <w:szCs w:val="16"/>
          <w:lang w:eastAsia="ru-RU"/>
        </w:rPr>
      </w:pPr>
      <w:r w:rsidRPr="00482955">
        <w:rPr>
          <w:rFonts w:ascii="Arial" w:eastAsia="Times New Roman" w:hAnsi="Arial" w:cs="Arial"/>
          <w:i/>
          <w:kern w:val="28"/>
          <w:sz w:val="16"/>
          <w:szCs w:val="16"/>
          <w:lang w:eastAsia="ru-RU"/>
        </w:rPr>
        <w:t>С 2021 года понятие показателя расширено и рассматривается как самостоятельное направление затрат на инновации</w:t>
      </w:r>
      <w:r w:rsidR="006D387E" w:rsidRPr="00482955">
        <w:rPr>
          <w:rFonts w:ascii="Arial" w:eastAsia="Times New Roman" w:hAnsi="Arial" w:cs="Arial"/>
          <w:i/>
          <w:kern w:val="28"/>
          <w:sz w:val="16"/>
          <w:szCs w:val="16"/>
          <w:lang w:eastAsia="ru-RU"/>
        </w:rPr>
        <w:t>;</w:t>
      </w:r>
    </w:p>
    <w:p w:rsidR="00972740" w:rsidRPr="00482955" w:rsidRDefault="00972740">
      <w:pPr>
        <w:rPr>
          <w:sz w:val="16"/>
          <w:szCs w:val="16"/>
        </w:rPr>
      </w:pPr>
    </w:p>
    <w:sectPr w:rsidR="00972740" w:rsidRPr="00482955" w:rsidSect="00D0267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75B17"/>
    <w:multiLevelType w:val="hybridMultilevel"/>
    <w:tmpl w:val="836AE43E"/>
    <w:lvl w:ilvl="0" w:tplc="BC7C59F8">
      <w:start w:val="1"/>
      <w:numFmt w:val="decimal"/>
      <w:lvlText w:val="%1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D2"/>
    <w:rsid w:val="00031A5C"/>
    <w:rsid w:val="001A2B20"/>
    <w:rsid w:val="00223F43"/>
    <w:rsid w:val="00262720"/>
    <w:rsid w:val="002667A1"/>
    <w:rsid w:val="00275CD7"/>
    <w:rsid w:val="00301A69"/>
    <w:rsid w:val="00482955"/>
    <w:rsid w:val="00494CB3"/>
    <w:rsid w:val="005E1F70"/>
    <w:rsid w:val="006D387E"/>
    <w:rsid w:val="007644F7"/>
    <w:rsid w:val="007862FD"/>
    <w:rsid w:val="0078684D"/>
    <w:rsid w:val="0079689E"/>
    <w:rsid w:val="00834091"/>
    <w:rsid w:val="008E06A6"/>
    <w:rsid w:val="00947E09"/>
    <w:rsid w:val="00961AD2"/>
    <w:rsid w:val="00972740"/>
    <w:rsid w:val="00B14D96"/>
    <w:rsid w:val="00D02673"/>
    <w:rsid w:val="00EC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D01AFC-DEB9-4C62-BE14-AB40CD92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7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Бабенко Наталья Валерьяновна</dc:creator>
  <cp:keywords/>
  <dc:description/>
  <cp:lastModifiedBy>Бабенко Наталья Валерьяновна</cp:lastModifiedBy>
  <cp:revision>18</cp:revision>
  <cp:lastPrinted>2021-12-06T13:03:00Z</cp:lastPrinted>
  <dcterms:created xsi:type="dcterms:W3CDTF">2021-12-06T13:02:00Z</dcterms:created>
  <dcterms:modified xsi:type="dcterms:W3CDTF">2024-09-03T11:32:00Z</dcterms:modified>
</cp:coreProperties>
</file>